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Geometry MAT 230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(Common Core Regents) 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Resource(s) used: 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Primary: Teacher written lessons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Glencoe McGraw Hill Geometry 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eMathInstruction (online resource) 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Amsco Math A and Math B </w:t>
      </w: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Syllabus </w:t>
      </w:r>
    </w:p>
    <w:p w:rsidR="00984303" w:rsidRDefault="00984303" w:rsidP="00522CB7">
      <w:pPr>
        <w:pStyle w:val="NoSpacing"/>
        <w:jc w:val="center"/>
        <w:rPr>
          <w:b/>
          <w:sz w:val="28"/>
          <w:szCs w:val="28"/>
        </w:rPr>
      </w:pPr>
    </w:p>
    <w:p w:rsidR="00984303" w:rsidRPr="00984303" w:rsidRDefault="00984303" w:rsidP="00984303">
      <w:pPr>
        <w:pStyle w:val="NoSpacing"/>
        <w:jc w:val="center"/>
        <w:rPr>
          <w:sz w:val="28"/>
          <w:szCs w:val="28"/>
        </w:rPr>
      </w:pPr>
      <w:r w:rsidRPr="00984303">
        <w:rPr>
          <w:sz w:val="28"/>
          <w:szCs w:val="28"/>
        </w:rPr>
        <w:t xml:space="preserve">This course </w:t>
      </w:r>
      <w:proofErr w:type="gramStart"/>
      <w:r w:rsidRPr="00984303">
        <w:rPr>
          <w:sz w:val="28"/>
          <w:szCs w:val="28"/>
        </w:rPr>
        <w:t>is intended</w:t>
      </w:r>
      <w:proofErr w:type="gramEnd"/>
      <w:r w:rsidRPr="00984303">
        <w:rPr>
          <w:sz w:val="28"/>
          <w:szCs w:val="28"/>
        </w:rPr>
        <w:t xml:space="preserve"> to be the second course in mathematics for high school students. In this course, students will have the opportunity to make conjectures about geometric situations and prove, in a variety of ways, both formally and informally, that their conclusion follows logically from their hypothesis. This course </w:t>
      </w:r>
      <w:proofErr w:type="gramStart"/>
      <w:r w:rsidRPr="00984303">
        <w:rPr>
          <w:sz w:val="28"/>
          <w:szCs w:val="28"/>
        </w:rPr>
        <w:t>is meant</w:t>
      </w:r>
      <w:proofErr w:type="gramEnd"/>
      <w:r w:rsidRPr="00984303">
        <w:rPr>
          <w:sz w:val="28"/>
          <w:szCs w:val="28"/>
        </w:rPr>
        <w:t xml:space="preserve"> to employ an integrated approach to the study of geometric relationships. Integrating synthetic, transformational, and coordinate approaches to geometry, students will justify geometric relationships and properties of geometric figures. </w:t>
      </w:r>
    </w:p>
    <w:p w:rsidR="00984303" w:rsidRPr="00984303" w:rsidRDefault="00984303" w:rsidP="00984303">
      <w:pPr>
        <w:pStyle w:val="NoSpacing"/>
        <w:jc w:val="center"/>
        <w:rPr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sz w:val="28"/>
          <w:szCs w:val="28"/>
        </w:rPr>
      </w:pPr>
      <w:bookmarkStart w:id="0" w:name="_GoBack"/>
      <w:r w:rsidRPr="004778CF">
        <w:rPr>
          <w:b/>
          <w:sz w:val="28"/>
          <w:szCs w:val="28"/>
        </w:rPr>
        <w:t>Final Assessment:</w:t>
      </w:r>
      <w:r w:rsidRPr="00984303">
        <w:rPr>
          <w:sz w:val="28"/>
          <w:szCs w:val="28"/>
        </w:rPr>
        <w:t xml:space="preserve"> </w:t>
      </w:r>
      <w:bookmarkEnd w:id="0"/>
      <w:r w:rsidRPr="00984303">
        <w:rPr>
          <w:sz w:val="28"/>
          <w:szCs w:val="28"/>
        </w:rPr>
        <w:t xml:space="preserve">Students are required to take a NYS Regents exam in Geometry. Successful completion of this exam is part of the requirement </w:t>
      </w:r>
      <w:proofErr w:type="gramStart"/>
      <w:r w:rsidRPr="00984303">
        <w:rPr>
          <w:sz w:val="28"/>
          <w:szCs w:val="28"/>
        </w:rPr>
        <w:t>for a Regents</w:t>
      </w:r>
      <w:proofErr w:type="gramEnd"/>
      <w:r w:rsidRPr="00984303">
        <w:rPr>
          <w:sz w:val="28"/>
          <w:szCs w:val="28"/>
        </w:rPr>
        <w:t xml:space="preserve"> with Distinction Diploma in NYS.</w:t>
      </w: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984303" w:rsidRPr="00984303" w:rsidRDefault="00984303" w:rsidP="00984303">
      <w:pPr>
        <w:pStyle w:val="NoSpacing"/>
        <w:jc w:val="center"/>
        <w:rPr>
          <w:b/>
          <w:sz w:val="28"/>
          <w:szCs w:val="28"/>
        </w:rPr>
      </w:pPr>
    </w:p>
    <w:p w:rsidR="00522CB7" w:rsidRDefault="00522CB7" w:rsidP="00522C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 – Week Marking Period </w:t>
      </w:r>
    </w:p>
    <w:p w:rsidR="00522CB7" w:rsidRDefault="00522CB7" w:rsidP="00522CB7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9"/>
        <w:gridCol w:w="6214"/>
        <w:gridCol w:w="5847"/>
      </w:tblGrid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Pr="00C0673B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6214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Topic(s) </w:t>
            </w:r>
          </w:p>
          <w:p w:rsidR="00522CB7" w:rsidRPr="00C0673B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522CB7" w:rsidRDefault="00522CB7" w:rsidP="00522C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York State Common Core</w:t>
            </w:r>
          </w:p>
          <w:p w:rsidR="00522CB7" w:rsidRDefault="00522CB7" w:rsidP="00522C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Standards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214" w:type="dxa"/>
          </w:tcPr>
          <w:p w:rsidR="00522CB7" w:rsidRP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Review: Key Facts and Discoveries from Earlier Grades</w:t>
            </w:r>
          </w:p>
        </w:tc>
        <w:tc>
          <w:tcPr>
            <w:tcW w:w="5847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 an Equilateral Triangle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 a Copy of an Angle</w:t>
            </w:r>
          </w:p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 a Bisector of an Angle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 a Perpendicular Bisector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Points of Concurrency </w:t>
            </w:r>
          </w:p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(Circumcenter and </w:t>
            </w:r>
            <w:proofErr w:type="spellStart"/>
            <w:r>
              <w:rPr>
                <w:sz w:val="28"/>
                <w:szCs w:val="28"/>
              </w:rPr>
              <w:t>Incenter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G.CO.12, G.C.2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Construction Practice 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Solving for Unknown Angles </w:t>
            </w:r>
          </w:p>
          <w:p w:rsidR="00522CB7" w:rsidRDefault="00522CB7" w:rsidP="00522CB7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Angles and Lines at a Point 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Solving for Unknown Angles </w:t>
            </w:r>
          </w:p>
          <w:p w:rsidR="00522CB7" w:rsidRDefault="00522CB7" w:rsidP="00522CB7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Transversals 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Solving for Unknown Angles </w:t>
            </w:r>
          </w:p>
          <w:p w:rsidR="00522CB7" w:rsidRDefault="00522CB7" w:rsidP="00522CB7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Angles in a Triangle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214" w:type="dxa"/>
          </w:tcPr>
          <w:p w:rsidR="00522CB7" w:rsidRDefault="00522CB7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Parallel Lines, Medians and Altitudes</w:t>
            </w:r>
          </w:p>
        </w:tc>
        <w:tc>
          <w:tcPr>
            <w:tcW w:w="5847" w:type="dxa"/>
          </w:tcPr>
          <w:p w:rsidR="00522CB7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G.CO.10</w:t>
            </w:r>
          </w:p>
        </w:tc>
      </w:tr>
      <w:tr w:rsidR="00522CB7" w:rsidTr="00EE0942">
        <w:trPr>
          <w:trHeight w:val="532"/>
          <w:jc w:val="center"/>
        </w:trPr>
        <w:tc>
          <w:tcPr>
            <w:tcW w:w="2329" w:type="dxa"/>
          </w:tcPr>
          <w:p w:rsidR="00522CB7" w:rsidRDefault="00522CB7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6214" w:type="dxa"/>
          </w:tcPr>
          <w:p w:rsidR="00522CB7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Quadrilaterals</w:t>
            </w:r>
          </w:p>
        </w:tc>
        <w:tc>
          <w:tcPr>
            <w:tcW w:w="5847" w:type="dxa"/>
          </w:tcPr>
          <w:p w:rsidR="00522CB7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G.CO.10, G.CO.11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Miscellaneous Constructions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Coordinate Rules and </w:t>
            </w:r>
            <w:proofErr w:type="spellStart"/>
            <w:r>
              <w:rPr>
                <w:sz w:val="28"/>
                <w:szCs w:val="28"/>
              </w:rPr>
              <w:t>Input/Output</w:t>
            </w:r>
            <w:proofErr w:type="spellEnd"/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G.CO.A2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Mapping, Functions &amp; Transformations, </w:t>
            </w:r>
          </w:p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One-to-One Functions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G.CO.A2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Isometries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G.CO.A2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Reflectional</w:t>
            </w:r>
            <w:proofErr w:type="spellEnd"/>
            <w:r>
              <w:rPr>
                <w:sz w:val="28"/>
                <w:szCs w:val="28"/>
              </w:rPr>
              <w:t xml:space="preserve"> and Rotational Symmetry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 of Transformations &amp; Notation</w:t>
            </w:r>
          </w:p>
        </w:tc>
        <w:tc>
          <w:tcPr>
            <w:tcW w:w="5847" w:type="dxa"/>
          </w:tcPr>
          <w:p w:rsidR="0036301B" w:rsidRDefault="0030079A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G.CO.2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Reflections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G.CO.4, G.CO.5, G.CO.9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Translations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Translations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Rules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Reflections over Parallel Lines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Reflections over Intersecting Lines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Compositions of Functions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Rigid Motions, Correspondence, Congruence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G.CO.5, G.SRT.2, G.SRT.3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of Congruence</w:t>
            </w:r>
          </w:p>
        </w:tc>
        <w:tc>
          <w:tcPr>
            <w:tcW w:w="5847" w:type="dxa"/>
          </w:tcPr>
          <w:p w:rsidR="0036301B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G.CO.5, G.SRT.2, G.SRT.3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for Triangle Proofs</w:t>
            </w:r>
          </w:p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(Triangle Congruence Criteria) 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for Triangle Proofs</w:t>
            </w:r>
          </w:p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(Triangle Congruence Criteria) 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214" w:type="dxa"/>
          </w:tcPr>
          <w:p w:rsidR="0036301B" w:rsidRDefault="0036301B" w:rsidP="00522C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Geometry Proofs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</w:tbl>
    <w:p w:rsidR="008A7454" w:rsidRDefault="008A7454"/>
    <w:p w:rsidR="0036301B" w:rsidRDefault="0036301B"/>
    <w:p w:rsidR="0036301B" w:rsidRDefault="0036301B"/>
    <w:p w:rsidR="0036301B" w:rsidRDefault="0036301B"/>
    <w:p w:rsidR="0036301B" w:rsidRDefault="0036301B" w:rsidP="003630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Geometry MAT 230</w:t>
      </w:r>
    </w:p>
    <w:p w:rsidR="0036301B" w:rsidRDefault="0036301B" w:rsidP="003630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(Common Core Regents) </w:t>
      </w:r>
    </w:p>
    <w:p w:rsidR="0036301B" w:rsidRDefault="0036301B" w:rsidP="003630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– Week Marking Period </w:t>
      </w:r>
    </w:p>
    <w:p w:rsidR="0036301B" w:rsidRDefault="0036301B" w:rsidP="0036301B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9"/>
        <w:gridCol w:w="6214"/>
        <w:gridCol w:w="5847"/>
      </w:tblGrid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Pr="00C0673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6214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Topic(s) </w:t>
            </w:r>
          </w:p>
          <w:p w:rsidR="0036301B" w:rsidRPr="00C0673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New York State </w:t>
            </w:r>
          </w:p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214" w:type="dxa"/>
          </w:tcPr>
          <w:p w:rsidR="0036301B" w:rsidRPr="0036301B" w:rsidRDefault="0036301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Congruency Proofs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214" w:type="dxa"/>
          </w:tcPr>
          <w:p w:rsidR="0036301B" w:rsidRDefault="0036301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Congruency Proofs - Practice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214" w:type="dxa"/>
          </w:tcPr>
          <w:p w:rsidR="0036301B" w:rsidRDefault="0036301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Triangle Proofs Involving </w:t>
            </w:r>
          </w:p>
          <w:p w:rsidR="0036301B" w:rsidRDefault="0036301B" w:rsidP="0036301B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Altitude, Median and Isosceles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36301B" w:rsidTr="00EE0942">
        <w:trPr>
          <w:trHeight w:val="532"/>
          <w:jc w:val="center"/>
        </w:trPr>
        <w:tc>
          <w:tcPr>
            <w:tcW w:w="2329" w:type="dxa"/>
          </w:tcPr>
          <w:p w:rsidR="0036301B" w:rsidRDefault="0036301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214" w:type="dxa"/>
          </w:tcPr>
          <w:p w:rsidR="0036301B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Proofs Involving 2 Pairs of Congruent Triangles</w:t>
            </w:r>
          </w:p>
        </w:tc>
        <w:tc>
          <w:tcPr>
            <w:tcW w:w="5847" w:type="dxa"/>
          </w:tcPr>
          <w:p w:rsidR="0036301B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Triangle Congruency Proofs </w:t>
            </w:r>
          </w:p>
          <w:p w:rsidR="0047370D" w:rsidRDefault="0047370D" w:rsidP="0047370D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too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Quadrilateral Properties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Quadrilateral Properties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Triangle </w:t>
            </w:r>
            <w:proofErr w:type="spellStart"/>
            <w:r>
              <w:rPr>
                <w:sz w:val="28"/>
                <w:szCs w:val="28"/>
              </w:rPr>
              <w:t>Midsegment</w:t>
            </w:r>
            <w:proofErr w:type="spellEnd"/>
            <w:r>
              <w:rPr>
                <w:sz w:val="28"/>
                <w:szCs w:val="28"/>
              </w:rPr>
              <w:t xml:space="preserve"> Theorem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G.CO.10, G.CO.11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Centriod</w:t>
            </w:r>
            <w:proofErr w:type="spellEnd"/>
            <w:r>
              <w:rPr>
                <w:sz w:val="28"/>
                <w:szCs w:val="28"/>
              </w:rPr>
              <w:t xml:space="preserve"> Theorem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G.CO.10, G.CO.11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Rule for Dilations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G.SRT.1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Dilations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G.SRT.1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Does it Mean to be Similar? 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G.SRT.2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Ratio Problems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Similarity Transformations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G.SRT.4, G.SRT.5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Similarity of Triangles</w:t>
            </w:r>
          </w:p>
        </w:tc>
        <w:tc>
          <w:tcPr>
            <w:tcW w:w="5847" w:type="dxa"/>
          </w:tcPr>
          <w:p w:rsidR="0047370D" w:rsidRDefault="00413648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G.CO.10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Similarity Proofs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G.SRT.4, G.SRT.5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Splitting and Angle Bisector Theorem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G.SRT.4, G.SRT.5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 Drawn to the Hypotenuse of a Right Triangle (Geometric Mean) 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G.GPE.6</w:t>
            </w:r>
          </w:p>
        </w:tc>
      </w:tr>
    </w:tbl>
    <w:p w:rsidR="0036301B" w:rsidRDefault="0036301B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/>
    <w:p w:rsidR="0047370D" w:rsidRDefault="0047370D" w:rsidP="004737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Geometry MAT 230</w:t>
      </w:r>
    </w:p>
    <w:p w:rsidR="0047370D" w:rsidRDefault="0047370D" w:rsidP="004737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(Common Core Regents) </w:t>
      </w:r>
    </w:p>
    <w:p w:rsidR="0047370D" w:rsidRDefault="0047370D" w:rsidP="004737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– Week Marking Period </w:t>
      </w:r>
    </w:p>
    <w:p w:rsidR="0047370D" w:rsidRDefault="0047370D" w:rsidP="0047370D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9"/>
        <w:gridCol w:w="6214"/>
        <w:gridCol w:w="5847"/>
      </w:tblGrid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Pr="00C0673B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Topic(s) </w:t>
            </w:r>
          </w:p>
          <w:p w:rsidR="0047370D" w:rsidRPr="00C0673B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New York State </w:t>
            </w:r>
          </w:p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214" w:type="dxa"/>
          </w:tcPr>
          <w:p w:rsidR="0047370D" w:rsidRPr="0036301B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 Drawn to the Hypotenuse of a Right Triangle (Geometric Mean) 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G.GPE.6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Multiplying and Dividing Radical Expressions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Adding and Subtracting Radical Expressions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Similarity and Trigonometry Activity 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Trigonometry Basics</w:t>
            </w:r>
          </w:p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of Sine, Cosine and Tangent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Sine and Cosine of Complementary Angles 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Trigonometric Word Problems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 Diagram to Solve Trigonometric Word Problems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Advances Trigonometric Word Problems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Trigonometry – Systems of Equations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Areas of Triangles and Parallelograms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the Law of Sines to Find a Missing Side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214" w:type="dxa"/>
          </w:tcPr>
          <w:p w:rsidR="0047370D" w:rsidRDefault="0047370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the Law of Sines to Find a Missing Angle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214" w:type="dxa"/>
          </w:tcPr>
          <w:p w:rsidR="0047370D" w:rsidRDefault="0047370D" w:rsidP="0024764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Real-Word Triangle Problems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G.SRT.7, G.SRT.8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214" w:type="dxa"/>
          </w:tcPr>
          <w:p w:rsidR="0047370D" w:rsidRDefault="0047370D" w:rsidP="0024764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</w:t>
            </w:r>
            <w:r w:rsidR="0024764F">
              <w:rPr>
                <w:sz w:val="28"/>
                <w:szCs w:val="28"/>
              </w:rPr>
              <w:t>rties of Area and Circumference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G.MG.1, G.MG.2, G.MG.3</w:t>
            </w:r>
          </w:p>
        </w:tc>
      </w:tr>
      <w:tr w:rsidR="0047370D" w:rsidTr="00EE0942">
        <w:trPr>
          <w:trHeight w:val="532"/>
          <w:jc w:val="center"/>
        </w:trPr>
        <w:tc>
          <w:tcPr>
            <w:tcW w:w="2329" w:type="dxa"/>
          </w:tcPr>
          <w:p w:rsidR="0047370D" w:rsidRDefault="0047370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214" w:type="dxa"/>
          </w:tcPr>
          <w:p w:rsidR="0047370D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Scaling Principle for Area</w:t>
            </w:r>
          </w:p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Prisms, Cylinders, Pyramids, Cones and Their Cross-Sections</w:t>
            </w:r>
          </w:p>
        </w:tc>
        <w:tc>
          <w:tcPr>
            <w:tcW w:w="5847" w:type="dxa"/>
          </w:tcPr>
          <w:p w:rsidR="0047370D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 of Volume</w:t>
            </w:r>
          </w:p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Scaling Principle for Volume 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of Prisms and Cylinders</w:t>
            </w:r>
          </w:p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Cavalieri’s</w:t>
            </w:r>
            <w:proofErr w:type="spellEnd"/>
            <w:r>
              <w:rPr>
                <w:sz w:val="28"/>
                <w:szCs w:val="28"/>
              </w:rPr>
              <w:t xml:space="preserve"> Principle 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of Pyramids and Cones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Volume of Sphere’s and Hemisphere’s 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Real-World 3-D Problems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Rotating Cross Sections to Form Solids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Applying Slope, Distance and Midpoint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Parallel and Perpendicular Lines 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Solving Parallel and Perpendicular Lines </w:t>
            </w:r>
          </w:p>
          <w:p w:rsidR="0024764F" w:rsidRDefault="0024764F" w:rsidP="0024764F">
            <w:pPr>
              <w:pStyle w:val="NoSpacing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Perpendicular Bisector Equation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Geometry Proofs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Partitioning a Line Segment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Perimeter and Area on the Coordinate Plane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G.GPE.7, G.MG.2, G.MG.3, G.MG.1</w:t>
            </w:r>
          </w:p>
        </w:tc>
      </w:tr>
    </w:tbl>
    <w:p w:rsidR="0047370D" w:rsidRDefault="0047370D">
      <w:pPr>
        <w:rPr>
          <w:b/>
        </w:rPr>
      </w:pPr>
    </w:p>
    <w:p w:rsidR="0024764F" w:rsidRDefault="0024764F">
      <w:pPr>
        <w:rPr>
          <w:b/>
        </w:rPr>
      </w:pPr>
    </w:p>
    <w:p w:rsidR="0024764F" w:rsidRDefault="0024764F">
      <w:pPr>
        <w:rPr>
          <w:b/>
        </w:rPr>
      </w:pPr>
    </w:p>
    <w:p w:rsidR="0024764F" w:rsidRDefault="0024764F">
      <w:pPr>
        <w:rPr>
          <w:b/>
        </w:rPr>
      </w:pPr>
    </w:p>
    <w:p w:rsidR="0024764F" w:rsidRDefault="0024764F">
      <w:pPr>
        <w:rPr>
          <w:b/>
        </w:rPr>
      </w:pPr>
    </w:p>
    <w:p w:rsidR="0024764F" w:rsidRDefault="0024764F">
      <w:pPr>
        <w:rPr>
          <w:b/>
        </w:rPr>
      </w:pPr>
    </w:p>
    <w:p w:rsidR="0024764F" w:rsidRDefault="0024764F" w:rsidP="002476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Geometry MAT 230</w:t>
      </w:r>
    </w:p>
    <w:p w:rsidR="0024764F" w:rsidRDefault="0024764F" w:rsidP="002476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(Common Core Regents) </w:t>
      </w:r>
    </w:p>
    <w:p w:rsidR="0024764F" w:rsidRDefault="0024764F" w:rsidP="002476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– Week Marking Period </w:t>
      </w:r>
    </w:p>
    <w:p w:rsidR="0024764F" w:rsidRDefault="0024764F" w:rsidP="0024764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9"/>
        <w:gridCol w:w="6214"/>
        <w:gridCol w:w="5847"/>
      </w:tblGrid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Pr="00C0673B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Topic(s) </w:t>
            </w:r>
          </w:p>
          <w:p w:rsidR="0024764F" w:rsidRPr="00C0673B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New York State </w:t>
            </w:r>
          </w:p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214" w:type="dxa"/>
          </w:tcPr>
          <w:p w:rsidR="0024764F" w:rsidRPr="0036301B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Chord, Radius, Arcs, Tangents, Central Angles, Intercepted Arcs, Parallel Chords, Tangent Circles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G.C.2, G.GPE.1, G.GPE.5, G.CO.12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Inscribed Angles in Circles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Angle Relationships in Circles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Arc Length and Areas of Sectors 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Segment Relationships in Circles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Multipart Circle Problems</w:t>
            </w:r>
          </w:p>
        </w:tc>
        <w:tc>
          <w:tcPr>
            <w:tcW w:w="5847" w:type="dxa"/>
          </w:tcPr>
          <w:p w:rsidR="0024764F" w:rsidRDefault="00455FDE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C.G.2, G.GPE.1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Equation of a Circle and Completing the Square</w:t>
            </w:r>
          </w:p>
        </w:tc>
        <w:tc>
          <w:tcPr>
            <w:tcW w:w="5847" w:type="dxa"/>
          </w:tcPr>
          <w:p w:rsidR="0024764F" w:rsidRDefault="00D4359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G.GPE.1</w:t>
            </w:r>
          </w:p>
        </w:tc>
      </w:tr>
      <w:tr w:rsidR="0024764F" w:rsidTr="00EE0942">
        <w:trPr>
          <w:trHeight w:val="532"/>
          <w:jc w:val="center"/>
        </w:trPr>
        <w:tc>
          <w:tcPr>
            <w:tcW w:w="2329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24764F" w:rsidRDefault="0024764F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Regents Exam Review</w:t>
            </w:r>
          </w:p>
        </w:tc>
        <w:tc>
          <w:tcPr>
            <w:tcW w:w="5847" w:type="dxa"/>
          </w:tcPr>
          <w:p w:rsidR="0024764F" w:rsidRDefault="0024764F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764F" w:rsidRDefault="0024764F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>
      <w:pPr>
        <w:rPr>
          <w:b/>
        </w:rPr>
      </w:pPr>
    </w:p>
    <w:p w:rsidR="00202BBD" w:rsidRDefault="00202BBD" w:rsidP="00202B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Geometry MAT 230</w:t>
      </w:r>
    </w:p>
    <w:p w:rsidR="00202BBD" w:rsidRDefault="00202BBD" w:rsidP="00202B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(Common Core Regents) </w:t>
      </w:r>
    </w:p>
    <w:p w:rsidR="00202BBD" w:rsidRDefault="00202BBD" w:rsidP="00202B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Resource(s) used: </w:t>
      </w:r>
    </w:p>
    <w:p w:rsidR="00202BBD" w:rsidRDefault="00202BBD" w:rsidP="00202B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Primary: eMathInstruction (online resource) </w:t>
      </w:r>
    </w:p>
    <w:p w:rsidR="00EC4E3B" w:rsidRDefault="00202BBD" w:rsidP="00EC4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</w:t>
      </w:r>
      <w:r w:rsidR="00EC4E3B">
        <w:rPr>
          <w:b/>
          <w:sz w:val="28"/>
          <w:szCs w:val="28"/>
        </w:rPr>
        <w:t>Teacher written lessons</w:t>
      </w:r>
    </w:p>
    <w:p w:rsidR="00EC4E3B" w:rsidRDefault="00EC4E3B" w:rsidP="00EC4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Glencoe McGraw Hill Geometry </w:t>
      </w:r>
    </w:p>
    <w:p w:rsidR="00EC4E3B" w:rsidRDefault="00EC4E3B" w:rsidP="00EC4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Secondary: Amsco Math A and Math B </w:t>
      </w:r>
    </w:p>
    <w:p w:rsidR="00202BBD" w:rsidRDefault="00202BBD" w:rsidP="00202BBD">
      <w:pPr>
        <w:pStyle w:val="NoSpacing"/>
        <w:jc w:val="center"/>
        <w:rPr>
          <w:b/>
          <w:sz w:val="28"/>
          <w:szCs w:val="28"/>
        </w:rPr>
      </w:pPr>
    </w:p>
    <w:p w:rsidR="00202BBD" w:rsidRDefault="00EC4E3B" w:rsidP="00EC4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Syllabus </w:t>
      </w:r>
    </w:p>
    <w:p w:rsidR="00202BBD" w:rsidRDefault="00202BBD" w:rsidP="00202BBD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9"/>
        <w:gridCol w:w="6214"/>
        <w:gridCol w:w="5847"/>
      </w:tblGrid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Pr="00C0673B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Topic(s) </w:t>
            </w:r>
          </w:p>
          <w:p w:rsidR="00202BBD" w:rsidRPr="00C0673B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York State Common Core</w:t>
            </w:r>
          </w:p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Standards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202BBD" w:rsidRP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– ESSENTIAL GEOMETRIC TERMS AND CONCEPTS – 9 LESSONS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Points, Distances and Segments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Lines, Rays and Angles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Types of Angles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Complements and Supplements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Circles and Arcs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a Triangle Given its Sides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Geometric Terminology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Properties of Lines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Unit #1 Practice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G.CO.1, G.CO.12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202BBD" w:rsidRP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– TRANSFORMATIONS, RIGID MOTIONS AND CONGRUENCE – 9 LESSONS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202BBD" w:rsidRP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Transformations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G.CO.2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Rotations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G.CO.4, G.CO.5, G.CO.9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G.CO.4, G.CO.5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Isosceles Triangles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G.CO.5, G.CO.9, 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Translations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G.CO.4, G.CO.5, G.CO.9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Congruence and Rigid Motions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G.CO.5, G.CO.6, G.CO.7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202BBD" w:rsidRDefault="00202BBD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Basic Rigid Motion Proofs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G.CO.6, G.CO.7, G.CO.9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202BBD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Congruence Reasoning About Triangles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G.CO.6, G.CO.7, G.CO.8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202BBD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Symmetries of a Figure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G.CO.3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202BBD" w:rsidRP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– EUCLIDEAN TRIANGLE PROOF – 10 LESSONS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Drawing Inferences from Givens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Axioms of Equality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Congruence Theorems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CPCTC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Proofs with Partitioning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Parallel Properties Review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More Work with Parallel Lines 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AAS and Isosceles Triangles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Hypotenuse-Leg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</w:t>
            </w:r>
          </w:p>
        </w:tc>
      </w:tr>
      <w:tr w:rsidR="00202BBD" w:rsidTr="00EE0942">
        <w:trPr>
          <w:trHeight w:val="532"/>
          <w:jc w:val="center"/>
        </w:trPr>
        <w:tc>
          <w:tcPr>
            <w:tcW w:w="2329" w:type="dxa"/>
          </w:tcPr>
          <w:p w:rsidR="00202BBD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202BBD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Triangle Proof</w:t>
            </w:r>
          </w:p>
        </w:tc>
        <w:tc>
          <w:tcPr>
            <w:tcW w:w="5847" w:type="dxa"/>
          </w:tcPr>
          <w:p w:rsidR="00202BBD" w:rsidRDefault="00202BBD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G.CO.9, G.CO.10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EE0942" w:rsidRP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– CONSTRUCTIONS – 7 LESSONS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EE0942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Constructions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Angles and Parallel Lines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Perpendicular Lines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Circumscribed Circle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G.CO.12, G.C.3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Bisecting an Angle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Inscribe Circle of a Triangle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G.CO.12, G.C.3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Inscribing Regular Polygons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G.CO.13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EE0942" w:rsidRP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– THE TOOLS OF COORDINATE GEOMETRY – 11 LESSONS</w:t>
            </w:r>
          </w:p>
        </w:tc>
        <w:tc>
          <w:tcPr>
            <w:tcW w:w="5847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EE0942" w:rsidRP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Slope and Parallelism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Slope and Perpendicularity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Equations of Lines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G.GPE.5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Point-Slope Form of a Line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G.GPE5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Horizontal and Vertical Lines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Pythagorean Theorem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G.SRT.8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EE0942" w:rsidRDefault="00EE094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Distance Formula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</w:t>
            </w:r>
          </w:p>
        </w:tc>
      </w:tr>
      <w:tr w:rsidR="00EE0942" w:rsidTr="00EE0942">
        <w:trPr>
          <w:trHeight w:val="532"/>
          <w:jc w:val="center"/>
        </w:trPr>
        <w:tc>
          <w:tcPr>
            <w:tcW w:w="2329" w:type="dxa"/>
          </w:tcPr>
          <w:p w:rsidR="00EE0942" w:rsidRDefault="00EE094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EE0942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Midpoint Formula</w:t>
            </w:r>
          </w:p>
        </w:tc>
        <w:tc>
          <w:tcPr>
            <w:tcW w:w="5847" w:type="dxa"/>
          </w:tcPr>
          <w:p w:rsidR="00EE0942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Rotations in the Coordinate Plane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Reflections in the Coordinate Plane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Translations in the Coordinate Plane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G.GPE.4, G.CO.5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– QUADRILATERALS – 8 LESSONS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Trapezoids and Parallelograms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 of Parallelograms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Makes a Parallelogram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Midpoint of a Triangle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G.CO.10, 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Rectangles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Rhombus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Squares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 Quadrilateral Practice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G.CO.10, G.CO.11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7 – DILATIONS AND SIMILARITY – 12 LESSONS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Dilations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Dilations in the Coordinate Plane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Dilations and Angles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G.SRT.1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Similarity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G.SRT.2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Similarity Criteria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G.SRT.3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Reasoning with Similarity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Similarity Reasoning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Side Splitter Theorem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G.SRT.4, G.SRT.5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Partitioning a Line Segment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G.SRT.6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Medians of a Triangle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G.SRT.5, G.CO.10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Right Triangles and Similarity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Proving the Pythagorean Theorem</w:t>
            </w:r>
          </w:p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(no homework) 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G.SRT.4, G.SRT.5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8 – RIGHT TRIANGLE TRIGONOMETRY – 6 LESSONS</w:t>
            </w:r>
          </w:p>
        </w:tc>
        <w:tc>
          <w:tcPr>
            <w:tcW w:w="5847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D10903" w:rsidRP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Similar Right Triangles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Trigonometric Ratios 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Trigonometry and the Calculator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G.SRT.6, G.SRT.7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Solving for Missing Sides of Right Triangles 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G.SRT.8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Trigonometric Applications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G.SRT.8</w:t>
            </w:r>
          </w:p>
        </w:tc>
      </w:tr>
      <w:tr w:rsidR="00D10903" w:rsidTr="00EE0942">
        <w:trPr>
          <w:trHeight w:val="532"/>
          <w:jc w:val="center"/>
        </w:trPr>
        <w:tc>
          <w:tcPr>
            <w:tcW w:w="2329" w:type="dxa"/>
          </w:tcPr>
          <w:p w:rsidR="00D10903" w:rsidRDefault="00D10903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D10903" w:rsidRDefault="00D10903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Trigonometric Applications</w:t>
            </w:r>
          </w:p>
        </w:tc>
        <w:tc>
          <w:tcPr>
            <w:tcW w:w="5847" w:type="dxa"/>
          </w:tcPr>
          <w:p w:rsidR="00D10903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G.SRT.8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F75232" w:rsidRP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9 – CIRCLE GEOMETRY – 12 LESSONS</w:t>
            </w:r>
          </w:p>
        </w:tc>
        <w:tc>
          <w:tcPr>
            <w:tcW w:w="5847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F75232" w:rsidRP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Circle Terminology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Inscribed Angles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More Work with Inscribed Angles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Intersecting Chords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Tangents to a Circle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Tangents, Secants and Their Angles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Tangent and Secant Proofs and Practice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Secant and Tangent Lengths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Equations of Circles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G.GPE.1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Placing Circles in Standard Form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G.GPE.1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Constructing Tangents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G.CO.12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14" w:type="dxa"/>
          </w:tcPr>
          <w:p w:rsidR="00F75232" w:rsidRDefault="00F75232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Equations of Tangent Lines </w:t>
            </w:r>
          </w:p>
        </w:tc>
        <w:tc>
          <w:tcPr>
            <w:tcW w:w="5847" w:type="dxa"/>
          </w:tcPr>
          <w:p w:rsidR="00F75232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G.GPE.5</w:t>
            </w:r>
          </w:p>
        </w:tc>
      </w:tr>
      <w:tr w:rsidR="00F75232" w:rsidTr="00EE0942">
        <w:trPr>
          <w:trHeight w:val="532"/>
          <w:jc w:val="center"/>
        </w:trPr>
        <w:tc>
          <w:tcPr>
            <w:tcW w:w="2329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:rsidR="00F75232" w:rsidRP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10 – MEASUREMENT AND MODELING – 11 LESSONS </w:t>
            </w:r>
          </w:p>
        </w:tc>
        <w:tc>
          <w:tcPr>
            <w:tcW w:w="5847" w:type="dxa"/>
          </w:tcPr>
          <w:p w:rsidR="00F75232" w:rsidRDefault="00F75232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EC4E3B" w:rsidRP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Perimeter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G.GPE.7,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Circumference of a Circle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G.MG.1,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Area of Polygons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G.GPE.7,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Area of a Circle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Sectors of Circles 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G.C.5,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Radian Measure of Angles 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G.C.1, G.C.5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Solids and Their Cross Sections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G.GMD.4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Volume of Prisms and Cylinders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G.GME.3,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Volume of Pyramids and Cones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14" w:type="dxa"/>
          </w:tcPr>
          <w:p w:rsidR="00EC4E3B" w:rsidRDefault="00EC4E3B" w:rsidP="00EE094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Spheres</w:t>
            </w:r>
          </w:p>
        </w:tc>
        <w:tc>
          <w:tcPr>
            <w:tcW w:w="5847" w:type="dxa"/>
          </w:tcPr>
          <w:p w:rsidR="00EC4E3B" w:rsidRDefault="00EC4E3B" w:rsidP="00EE094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  <w:tr w:rsidR="00EC4E3B" w:rsidTr="00EE0942">
        <w:trPr>
          <w:trHeight w:val="532"/>
          <w:jc w:val="center"/>
        </w:trPr>
        <w:tc>
          <w:tcPr>
            <w:tcW w:w="2329" w:type="dxa"/>
          </w:tcPr>
          <w:p w:rsidR="00EC4E3B" w:rsidRDefault="00EC4E3B" w:rsidP="00EC4E3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14" w:type="dxa"/>
          </w:tcPr>
          <w:p w:rsidR="00EC4E3B" w:rsidRDefault="00EC4E3B" w:rsidP="00EC4E3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Volume of a Truncated Cone </w:t>
            </w:r>
          </w:p>
        </w:tc>
        <w:tc>
          <w:tcPr>
            <w:tcW w:w="5847" w:type="dxa"/>
          </w:tcPr>
          <w:p w:rsidR="00EC4E3B" w:rsidRDefault="00EC4E3B" w:rsidP="00EC4E3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G.GMD.1, G.GMD.3, G.MG.1, G.MG.2, G.MG.3</w:t>
            </w:r>
          </w:p>
        </w:tc>
      </w:tr>
    </w:tbl>
    <w:p w:rsidR="00202BBD" w:rsidRPr="0047370D" w:rsidRDefault="00202BBD">
      <w:pPr>
        <w:rPr>
          <w:b/>
        </w:rPr>
      </w:pPr>
    </w:p>
    <w:sectPr w:rsidR="00202BBD" w:rsidRPr="0047370D" w:rsidSect="00522C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404"/>
    <w:multiLevelType w:val="hybridMultilevel"/>
    <w:tmpl w:val="6CEAAC44"/>
    <w:lvl w:ilvl="0" w:tplc="48B475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B7"/>
    <w:rsid w:val="00090913"/>
    <w:rsid w:val="00202BBD"/>
    <w:rsid w:val="0024764F"/>
    <w:rsid w:val="0030079A"/>
    <w:rsid w:val="0036301B"/>
    <w:rsid w:val="00413648"/>
    <w:rsid w:val="00455FDE"/>
    <w:rsid w:val="0047370D"/>
    <w:rsid w:val="004778CF"/>
    <w:rsid w:val="00522CB7"/>
    <w:rsid w:val="00630285"/>
    <w:rsid w:val="008A7454"/>
    <w:rsid w:val="00984303"/>
    <w:rsid w:val="00D10903"/>
    <w:rsid w:val="00D4359D"/>
    <w:rsid w:val="00EC4E3B"/>
    <w:rsid w:val="00EE0942"/>
    <w:rsid w:val="00F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D028-9ADA-4CEE-ABFA-46BF44B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CB7"/>
    <w:pPr>
      <w:spacing w:after="0" w:line="240" w:lineRule="auto"/>
    </w:pPr>
  </w:style>
  <w:style w:type="table" w:styleId="TableGrid">
    <w:name w:val="Table Grid"/>
    <w:basedOn w:val="TableNormal"/>
    <w:uiPriority w:val="39"/>
    <w:rsid w:val="0052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6369A-F38A-4152-AE6C-E55273A6C860}"/>
</file>

<file path=customXml/itemProps2.xml><?xml version="1.0" encoding="utf-8"?>
<ds:datastoreItem xmlns:ds="http://schemas.openxmlformats.org/officeDocument/2006/customXml" ds:itemID="{7CE8F05B-F832-451A-A4D7-38B5CCFF7849}"/>
</file>

<file path=customXml/itemProps3.xml><?xml version="1.0" encoding="utf-8"?>
<ds:datastoreItem xmlns:ds="http://schemas.openxmlformats.org/officeDocument/2006/customXml" ds:itemID="{900827D7-8AA0-40A2-B68E-11FDCBCB3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Wagner</dc:creator>
  <cp:keywords/>
  <dc:description/>
  <cp:lastModifiedBy>Karl Wagner</cp:lastModifiedBy>
  <cp:revision>7</cp:revision>
  <cp:lastPrinted>2018-10-24T15:40:00Z</cp:lastPrinted>
  <dcterms:created xsi:type="dcterms:W3CDTF">2018-10-18T13:33:00Z</dcterms:created>
  <dcterms:modified xsi:type="dcterms:W3CDTF">2018-10-24T15:40:00Z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